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z w:val="26"/>
          <w:szCs w:val="26"/>
        </w:rPr>
      </w:pPr>
      <w:r>
        <w:rPr>
          <w:rStyle w:val="Ninguno"/>
          <w:b w:val="1"/>
          <w:bCs w:val="1"/>
          <w:sz w:val="26"/>
          <w:szCs w:val="26"/>
          <w:rtl w:val="0"/>
          <w:lang w:val="es-ES_tradnl"/>
        </w:rPr>
        <w:t>14.03.2023</w:t>
      </w:r>
    </w:p>
    <w:p>
      <w:pPr>
        <w:pStyle w:val="Cuerpo"/>
        <w:rPr>
          <w:rStyle w:val="Ninguno"/>
          <w:lang w:val="es-ES_tradnl"/>
        </w:rPr>
      </w:pPr>
    </w:p>
    <w:p>
      <w:pPr>
        <w:pStyle w:val="Cuerpo"/>
        <w:jc w:val="center"/>
        <w:rPr>
          <w:rStyle w:val="Ninguno"/>
          <w:b w:val="1"/>
          <w:bCs w:val="1"/>
          <w:sz w:val="36"/>
          <w:szCs w:val="36"/>
        </w:rPr>
      </w:pP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Under Armour relanza su campa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ñ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 xml:space="preserve">a 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“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Protect This House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”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, un ic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Style w:val="Ninguno"/>
          <w:b w:val="1"/>
          <w:bCs w:val="1"/>
          <w:sz w:val="36"/>
          <w:szCs w:val="36"/>
          <w:rtl w:val="0"/>
          <w:lang w:val="es-ES_tradnl"/>
        </w:rPr>
        <w:t xml:space="preserve">nico grito de batalla para el deporte </w:t>
      </w:r>
    </w:p>
    <w:p>
      <w:pPr>
        <w:pStyle w:val="Cuerpo"/>
        <w:rPr>
          <w:rStyle w:val="Ninguno"/>
          <w:b w:val="1"/>
          <w:bCs w:val="1"/>
          <w:sz w:val="36"/>
          <w:szCs w:val="36"/>
          <w:lang w:val="es-ES_tradnl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6"/>
          <w:szCs w:val="26"/>
          <w:rtl w:val="0"/>
          <w:lang w:val="es-ES_tradnl"/>
        </w:rPr>
      </w:pP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Es m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á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s que un grito de guerra. Es una promesa de que haremos todo por nuestro equipo, nuestra familia.</w:t>
      </w: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6"/>
          <w:szCs w:val="26"/>
          <w:rtl w:val="0"/>
          <w:lang w:val="es-ES_tradnl"/>
        </w:rPr>
      </w:pP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En la campa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ñ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a participan atletas como Stephen Curry, Kelsey Plum y Aliyah Boston y Maro Itoje</w:t>
      </w:r>
      <w:r>
        <w:rPr>
          <w:rStyle w:val="Ninguno"/>
          <w:i w:val="1"/>
          <w:iCs w:val="1"/>
          <w:sz w:val="26"/>
          <w:szCs w:val="26"/>
          <w:rtl w:val="0"/>
          <w:lang w:val="es-ES_tradnl"/>
        </w:rPr>
        <w:t>.</w:t>
      </w:r>
    </w:p>
    <w:p>
      <w:pPr>
        <w:pStyle w:val="Cuerpo"/>
        <w:rPr>
          <w:rStyle w:val="Ninguno"/>
          <w:b w:val="1"/>
          <w:bCs w:val="1"/>
          <w:sz w:val="32"/>
          <w:szCs w:val="32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marca de ropa y accesorios deportivos Under Armour relanza su ic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nica 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Protect This House</w:t>
      </w:r>
      <w:r>
        <w:rPr>
          <w:rStyle w:val="Ninguno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sz w:val="24"/>
          <w:szCs w:val="24"/>
          <w:rtl w:val="0"/>
          <w:lang w:val="es-ES_tradnl"/>
        </w:rPr>
        <w:t xml:space="preserve">para este 2023. Este </w:t>
      </w: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grito de guerra</w:t>
      </w:r>
      <w:r>
        <w:rPr>
          <w:rStyle w:val="Ninguno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sz w:val="24"/>
          <w:szCs w:val="24"/>
          <w:rtl w:val="0"/>
          <w:lang w:val="es-ES_tradnl"/>
        </w:rPr>
        <w:t>fue presentado hace dos d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cadas, introduciendo la frase en el lenguaje deportivo global como un s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mbolo de uni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y fortaleza. </w:t>
      </w: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Esta 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 tiene como objetivo impulsar a los atletas de hoy a seguir adelante cuando llegan a su l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mite, recordando la importancia que tiene el trabajo en equipo en la victoria; estas palabras representan la lucha por </w:t>
      </w: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algo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grande que ellos mismos; luchan por las personas que est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en la cancha o el campo a su lado; luchan por las personas que los apoyan desde las gradas</w:t>
      </w:r>
      <w:r>
        <w:rPr>
          <w:rStyle w:val="Ninguno"/>
          <w:sz w:val="24"/>
          <w:szCs w:val="24"/>
          <w:rtl w:val="0"/>
          <w:lang w:val="es-ES_tradnl"/>
        </w:rPr>
        <w:t>”</w:t>
      </w:r>
      <w:r>
        <w:rPr>
          <w:rStyle w:val="Ninguno"/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Cada experiencia pasada, cada derrota estrecha, cada victoria masiva, cada inseguridad latente, cada rodilla raspada, cada discurso antes del partido conforman su protecci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su armadura</w:t>
      </w:r>
      <w:r>
        <w:rPr>
          <w:rStyle w:val="Ninguno"/>
          <w:sz w:val="24"/>
          <w:szCs w:val="24"/>
          <w:rtl w:val="0"/>
          <w:lang w:val="es-ES_tradnl"/>
        </w:rPr>
        <w:t>”</w:t>
      </w:r>
      <w:r>
        <w:rPr>
          <w:rStyle w:val="Ninguno"/>
          <w:sz w:val="24"/>
          <w:szCs w:val="24"/>
          <w:rtl w:val="0"/>
          <w:lang w:val="es-ES_tradnl"/>
        </w:rPr>
        <w:t xml:space="preserve">, explica la marca. </w:t>
      </w: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Para ello, se llam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a atletas como Stephen Curry, Kelsey Plum y Aliyah Boston y Maro Itoje, quienes representar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a una generaci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que </w:t>
      </w: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encuentra su motivaci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para trabajar duro en su equipo y su familia</w:t>
      </w:r>
      <w:r>
        <w:rPr>
          <w:rStyle w:val="Ninguno"/>
          <w:sz w:val="24"/>
          <w:szCs w:val="24"/>
          <w:rtl w:val="0"/>
          <w:lang w:val="es-ES_tradnl"/>
        </w:rPr>
        <w:t>”</w:t>
      </w:r>
      <w:r>
        <w:rPr>
          <w:rStyle w:val="Ninguno"/>
          <w:sz w:val="24"/>
          <w:szCs w:val="24"/>
          <w:rtl w:val="0"/>
          <w:lang w:val="es-ES_tradnl"/>
        </w:rPr>
        <w:t>, en comuni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con el esp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ritu que se proyecta en todos los productos de Under Armour. </w:t>
      </w: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Asimismo, la campa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 contar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a trav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s de varias historias las trayectorias de distintos atletas que se inspiran en el 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pico lema </w:t>
      </w: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Protect This House</w:t>
      </w:r>
      <w:r>
        <w:rPr>
          <w:rStyle w:val="Ninguno"/>
          <w:sz w:val="24"/>
          <w:szCs w:val="24"/>
          <w:rtl w:val="0"/>
          <w:lang w:val="es-ES_tradnl"/>
        </w:rPr>
        <w:t>”</w:t>
      </w:r>
      <w:r>
        <w:rPr>
          <w:rStyle w:val="Ninguno"/>
          <w:sz w:val="24"/>
          <w:szCs w:val="24"/>
          <w:rtl w:val="0"/>
          <w:lang w:val="es-ES_tradnl"/>
        </w:rPr>
        <w:t>. As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, se buscar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volver a moldear el panorama deportivo al ayudar a los j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venes atletas de hoy a proteger todo lo que son y todo lo que van a ser.</w:t>
      </w: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  <w:sz w:val="24"/>
          <w:szCs w:val="24"/>
          <w:lang w:val="es-ES_tradnl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sz w:val="24"/>
          <w:szCs w:val="24"/>
          <w:rtl w:val="0"/>
          <w:lang w:val="es-ES_tradnl"/>
        </w:rPr>
        <w:t>La compa</w:t>
      </w:r>
      <w:r>
        <w:rPr>
          <w:rStyle w:val="Ninguno"/>
          <w:sz w:val="24"/>
          <w:szCs w:val="24"/>
          <w:rtl w:val="0"/>
          <w:lang w:val="es-ES_tradnl"/>
        </w:rPr>
        <w:t>ñí</w:t>
      </w:r>
      <w:r>
        <w:rPr>
          <w:rStyle w:val="Ninguno"/>
          <w:sz w:val="24"/>
          <w:szCs w:val="24"/>
          <w:rtl w:val="0"/>
          <w:lang w:val="es-ES_tradnl"/>
        </w:rPr>
        <w:t>a expres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durante estos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os, los atletas Under Armour nunca han dejado de proteger lo suyo, pues la marca siempre ha sido sin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nimo de compa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erismo, determinaci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coraje frente a retos que parecen imposibles, a batallas que parecen perdidas y a metas que parecen lejanas, hasta que la determinaci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trae a casa la indiscutible victoria. Entre compa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eros, entre hermanos de juego. </w:t>
      </w:r>
    </w:p>
    <w:p>
      <w:pPr>
        <w:pStyle w:val="Cuerpo"/>
        <w:rPr>
          <w:rStyle w:val="Ninguno"/>
          <w:lang w:val="es-ES_tradnl"/>
        </w:rPr>
      </w:pPr>
    </w:p>
    <w:p>
      <w:pPr>
        <w:pStyle w:val="Cuerpo"/>
        <w:rPr>
          <w:rStyle w:val="Ninguno"/>
          <w:lang w:val="es-ES_tradnl"/>
        </w:rPr>
      </w:pPr>
    </w:p>
    <w:p>
      <w:pPr>
        <w:pStyle w:val="Cuerpo"/>
        <w:pBdr>
          <w:top w:val="nil"/>
          <w:left w:val="nil"/>
          <w:bottom w:val="single" w:color="000000" w:sz="12" w:space="0" w:shadow="0" w:frame="0"/>
          <w:right w:val="nil"/>
        </w:pBdr>
        <w:spacing w:line="240" w:lineRule="auto"/>
        <w:jc w:val="both"/>
        <w:rPr>
          <w:rStyle w:val="Ninguno"/>
          <w:rFonts w:ascii="ARMOUR Cd" w:cs="ARMOUR Cd" w:hAnsi="ARMOUR Cd" w:eastAsia="ARMOUR Cd"/>
          <w:sz w:val="24"/>
          <w:szCs w:val="24"/>
        </w:rPr>
      </w:pPr>
      <w:r>
        <w:rPr>
          <w:rStyle w:val="Ninguno"/>
          <w:rFonts w:ascii="ARMOUR Cd" w:cs="ARMOUR Cd" w:hAnsi="ARMOUR Cd" w:eastAsia="ARMOUR Cd"/>
          <w:b w:val="1"/>
          <w:bCs w:val="1"/>
          <w:sz w:val="24"/>
          <w:szCs w:val="24"/>
          <w:rtl w:val="0"/>
          <w:lang w:val="es-ES_tradnl"/>
        </w:rPr>
        <w:t>Sobre Under Armour, Inc.: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spacing w:before="240" w:after="240" w:line="240" w:lineRule="auto"/>
        <w:jc w:val="both"/>
        <w:rPr>
          <w:rStyle w:val="Ninguno"/>
          <w:rFonts w:ascii="ARMOUR Cd" w:cs="ARMOUR Cd" w:hAnsi="ARMOUR Cd" w:eastAsia="ARMOUR Cd"/>
          <w:outline w:val="0"/>
          <w:color w:val="1155cc"/>
          <w:sz w:val="24"/>
          <w:szCs w:val="24"/>
          <w:u w:val="single" w:color="1155cc"/>
          <w14:textFill>
            <w14:solidFill>
              <w14:srgbClr w14:val="1155CC"/>
            </w14:solidFill>
          </w14:textFill>
        </w:rPr>
      </w:pP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Under Armour (NYSE: UA), con oficinas centrales en Baltimore, Maryland es l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der inventor, comercializador y distribuidor de calzado, ropa y equipamiento de alto desempe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o. Dise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ada para hacer a todos los atletas mejores, los innovadores productos de la marca son vendidos en todo el mundo a atletas de todos los niveles.  La plataforma Under Armour Connected Fitness</w:t>
      </w:r>
      <w:r>
        <w:rPr>
          <w:rStyle w:val="Ninguno"/>
          <w:rFonts w:ascii="ARMOUR Cd" w:cs="ARMOUR Cd" w:hAnsi="ARMOUR Cd" w:eastAsia="ARMOUR Cd"/>
          <w:sz w:val="24"/>
          <w:szCs w:val="24"/>
          <w:vertAlign w:val="superscript"/>
          <w:rtl w:val="0"/>
          <w:lang w:val="es-ES_tradnl"/>
        </w:rPr>
        <w:t>TM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 xml:space="preserve"> alberga a la comunidad m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s grande de atletas y salud digital. Para m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s informaci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n, por favor visite el sitio web de la compa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ARMOUR Cd" w:cs="ARMOUR Cd" w:hAnsi="ARMOUR Cd" w:eastAsia="ARMOUR Cd"/>
          <w:sz w:val="24"/>
          <w:szCs w:val="24"/>
          <w:rtl w:val="0"/>
          <w:lang w:val="es-ES_tradnl"/>
        </w:rPr>
        <w:t>a: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"http://www.uabiz.com/"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"http://www.uabiz.com/"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www.uabiz.com</w:t>
      </w:r>
      <w:r>
        <w:rPr/>
        <w:fldChar w:fldCharType="end" w:fldLock="0"/>
      </w:r>
    </w:p>
    <w:p>
      <w:pPr>
        <w:pStyle w:val="Cuerpo"/>
        <w:spacing w:line="240" w:lineRule="auto"/>
        <w:jc w:val="both"/>
        <w:rPr>
          <w:rStyle w:val="Ninguno"/>
          <w:rFonts w:ascii="ARMOUR Cd" w:cs="ARMOUR Cd" w:hAnsi="ARMOUR Cd" w:eastAsia="ARMOUR Cd"/>
          <w:b w:val="1"/>
          <w:bCs w:val="1"/>
          <w:sz w:val="24"/>
          <w:szCs w:val="24"/>
          <w:lang w:val="es-ES_tradnl"/>
        </w:rPr>
      </w:pPr>
    </w:p>
    <w:p>
      <w:pPr>
        <w:pStyle w:val="Cuerpo"/>
        <w:spacing w:line="240" w:lineRule="auto"/>
        <w:jc w:val="both"/>
        <w:rPr>
          <w:rStyle w:val="Ninguno"/>
          <w:rFonts w:ascii="ARMOUR Cd" w:cs="ARMOUR Cd" w:hAnsi="ARMOUR Cd" w:eastAsia="ARMOUR Cd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MOUR Cd" w:cs="ARMOUR Cd" w:hAnsi="ARMOUR Cd" w:eastAsia="ARMOUR Cd"/>
          <w:b w:val="1"/>
          <w:bCs w:val="1"/>
          <w:sz w:val="24"/>
          <w:szCs w:val="24"/>
          <w:rtl w:val="0"/>
          <w:lang w:val="es-ES_tradnl"/>
        </w:rPr>
        <w:t>Contacto para medios:</w:t>
      </w:r>
    </w:p>
    <w:p>
      <w:pPr>
        <w:pStyle w:val="Cuerpo"/>
        <w:spacing w:line="240" w:lineRule="auto"/>
        <w:jc w:val="both"/>
        <w:rPr>
          <w:rStyle w:val="Ninguno"/>
          <w:rFonts w:ascii="ARMOUR Cd" w:cs="ARMOUR Cd" w:hAnsi="ARMOUR Cd" w:eastAsia="ARMOUR Cd"/>
          <w:b w:val="1"/>
          <w:bCs w:val="1"/>
          <w:sz w:val="24"/>
          <w:szCs w:val="24"/>
          <w:lang w:val="es-ES_tradnl"/>
        </w:rPr>
      </w:pPr>
    </w:p>
    <w:p>
      <w:pPr>
        <w:pStyle w:val="Cuerpo"/>
        <w:spacing w:line="240" w:lineRule="aut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"mailto:sharon.cano@qprw.co"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Sharon Cano</w:t>
      </w:r>
      <w:r>
        <w:rPr/>
        <w:fldChar w:fldCharType="end" w:fldLock="0"/>
      </w:r>
    </w:p>
    <w:p>
      <w:pPr>
        <w:pStyle w:val="Cuerpo"/>
        <w:spacing w:line="240" w:lineRule="aut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  <w:rtl w:val="0"/>
          <w:lang w:val="de-DE"/>
        </w:rPr>
        <w:t xml:space="preserve">PR </w:t>
      </w:r>
      <w:r>
        <w:rPr>
          <w:rStyle w:val="Ninguno"/>
          <w:rFonts w:ascii="Calibri" w:hAnsi="Calibri"/>
          <w:sz w:val="24"/>
          <w:szCs w:val="24"/>
          <w:rtl w:val="0"/>
          <w:lang w:val="es-ES_tradnl"/>
        </w:rPr>
        <w:t>Account Executive</w:t>
      </w:r>
    </w:p>
    <w:p>
      <w:pPr>
        <w:pStyle w:val="Cuerpo"/>
        <w:spacing w:line="240" w:lineRule="auto"/>
        <w:jc w:val="both"/>
        <w:rPr>
          <w:rStyle w:val="Ninguno"/>
          <w:rFonts w:ascii="ARMOUR Cd" w:cs="ARMOUR Cd" w:hAnsi="ARMOUR Cd" w:eastAsia="ARMOUR Cd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alibri" w:hAnsi="Calibri"/>
          <w:sz w:val="24"/>
          <w:szCs w:val="24"/>
          <w:rtl w:val="0"/>
          <w:lang w:val="es-ES_tradnl"/>
        </w:rPr>
        <w:t>sharon.cano@qprw.co</w:t>
      </w:r>
    </w:p>
    <w:p>
      <w:pPr>
        <w:pStyle w:val="Cuerpo"/>
        <w:spacing w:line="240" w:lineRule="auto"/>
        <w:jc w:val="both"/>
        <w:rPr>
          <w:rStyle w:val="Ninguno"/>
          <w:rFonts w:ascii="ARMOUR Cd" w:cs="ARMOUR Cd" w:hAnsi="ARMOUR Cd" w:eastAsia="ARMOUR Cd"/>
          <w:b w:val="1"/>
          <w:bCs w:val="1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"mailto:patricio.salom@qprw.co"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Patricio Salom Fern</w:t>
      </w:r>
      <w:r>
        <w:rPr>
          <w:rStyle w:val="Hyperlink.2"/>
          <w:rtl w:val="0"/>
          <w:lang w:val="es-ES_tradnl"/>
        </w:rPr>
        <w:t>á</w:t>
      </w:r>
      <w:r>
        <w:rPr>
          <w:rStyle w:val="Hyperlink.2"/>
          <w:rtl w:val="0"/>
          <w:lang w:val="es-ES_tradnl"/>
        </w:rPr>
        <w:t>ndez</w:t>
      </w:r>
      <w:r>
        <w:rPr/>
        <w:fldChar w:fldCharType="end" w:fldLock="0"/>
      </w:r>
    </w:p>
    <w:p>
      <w:pPr>
        <w:pStyle w:val="Cuerpo"/>
        <w:spacing w:line="240" w:lineRule="aut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  <w:rtl w:val="0"/>
          <w:lang w:val="fr-FR"/>
        </w:rPr>
        <w:t>PR Assistant</w:t>
      </w:r>
    </w:p>
    <w:p>
      <w:pPr>
        <w:pStyle w:val="Cuerpo"/>
        <w:spacing w:line="240" w:lineRule="aut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"mailto:patricio.salom@qprw.co"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patricio.salom@qprw.co</w:t>
      </w:r>
      <w:r>
        <w:rPr/>
        <w:fldChar w:fldCharType="end" w:fldLock="0"/>
      </w:r>
    </w:p>
    <w:p>
      <w:pPr>
        <w:pStyle w:val="Cuerpo"/>
        <w:spacing w:line="240" w:lineRule="auto"/>
        <w:jc w:val="both"/>
      </w:pPr>
      <w:r>
        <w:rPr>
          <w:rStyle w:val="Ninguno"/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RMOUR C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spacing w:line="240" w:lineRule="auto"/>
    </w:pPr>
    <w:r>
      <w:rPr>
        <w:rStyle w:val="Ninguno"/>
        <w:rFonts w:ascii="Calibri" w:hAnsi="Calibri"/>
        <w:sz w:val="24"/>
        <w:szCs w:val="24"/>
      </w:rPr>
      <w:drawing xmlns:a="http://schemas.openxmlformats.org/drawingml/2006/main">
        <wp:inline distT="0" distB="0" distL="0" distR="0">
          <wp:extent cx="5943600" cy="7874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ARMOUR Cd" w:cs="ARMOUR Cd" w:hAnsi="ARMOUR Cd" w:eastAsia="ARMOUR Cd"/>
      <w:sz w:val="24"/>
      <w:szCs w:val="24"/>
      <w:lang w:val="es-ES_tradnl"/>
    </w:rPr>
  </w:style>
  <w:style w:type="character" w:styleId="Hyperlink.1">
    <w:name w:val="Hyperlink.1"/>
    <w:basedOn w:val="Ninguno"/>
    <w:next w:val="Hyperlink.1"/>
    <w:rPr>
      <w:rFonts w:ascii="ARMOUR Cd" w:cs="ARMOUR Cd" w:hAnsi="ARMOUR Cd" w:eastAsia="ARMOUR Cd"/>
      <w:outline w:val="0"/>
      <w:color w:val="1155cc"/>
      <w:sz w:val="24"/>
      <w:szCs w:val="24"/>
      <w:u w:val="single" w:color="1155cc"/>
      <w:lang w:val="es-ES_tradnl"/>
      <w14:textFill>
        <w14:solidFill>
          <w14:srgbClr w14:val="1155CC"/>
        </w14:solidFill>
      </w14:textFill>
    </w:rPr>
  </w:style>
  <w:style w:type="character" w:styleId="Hyperlink.2">
    <w:name w:val="Hyperlink.2"/>
    <w:basedOn w:val="Ninguno"/>
    <w:next w:val="Hyperlink.2"/>
    <w:rPr>
      <w:outline w:val="0"/>
      <w:color w:val="0000ee"/>
      <w:u w:val="single" w:color="0000ee"/>
      <w:lang w:val="es-ES_tradnl"/>
      <w14:textFill>
        <w14:solidFill>
          <w14:srgbClr w14:val="0000EE"/>
        </w14:solidFill>
      </w14:textFill>
    </w:rPr>
  </w:style>
  <w:style w:type="character" w:styleId="Hyperlink.3">
    <w:name w:val="Hyperlink.3"/>
    <w:basedOn w:val="Ninguno"/>
    <w:next w:val="Hyperlink.3"/>
    <w:rPr>
      <w:rFonts w:ascii="Calibri" w:cs="Calibri" w:hAnsi="Calibri" w:eastAsia="Calibri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